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018B0B72" w:rsidR="0065432D" w:rsidRPr="00A7366F" w:rsidRDefault="0065432D" w:rsidP="0065432D">
      <w:pPr>
        <w:pStyle w:val="Header"/>
        <w:tabs>
          <w:tab w:val="left" w:pos="8280"/>
        </w:tabs>
        <w:spacing w:line="280" w:lineRule="exact"/>
        <w:jc w:val="both"/>
        <w:rPr>
          <w:rFonts w:ascii="Calibri" w:eastAsia="新細明體" w:hAnsi="Calibri" w:cs="Calibri"/>
          <w:sz w:val="24"/>
          <w:szCs w:val="24"/>
          <w:lang w:eastAsia="ja-JP"/>
        </w:rPr>
      </w:pPr>
      <w:r w:rsidRPr="00A7366F">
        <w:rPr>
          <w:rFonts w:ascii="Calibri" w:eastAsia="新細明體" w:hAnsi="Calibri" w:cs="Calibri"/>
          <w:sz w:val="24"/>
          <w:szCs w:val="24"/>
          <w:lang w:eastAsia="ja-JP"/>
        </w:rPr>
        <w:t>3GPP TSG-RAN WG4 Meeting #9</w:t>
      </w:r>
      <w:r w:rsidR="00D24E48">
        <w:rPr>
          <w:rFonts w:ascii="Calibri" w:eastAsia="新細明體" w:hAnsi="Calibri" w:cs="Calibri"/>
          <w:sz w:val="24"/>
          <w:szCs w:val="24"/>
          <w:lang w:eastAsia="ja-JP"/>
        </w:rPr>
        <w:t>7</w:t>
      </w:r>
      <w:r w:rsidRPr="00A7366F">
        <w:rPr>
          <w:rFonts w:ascii="Calibri" w:eastAsia="新細明體" w:hAnsi="Calibri" w:cs="Calibri"/>
          <w:sz w:val="24"/>
          <w:szCs w:val="24"/>
          <w:lang w:eastAsia="ja-JP"/>
        </w:rPr>
        <w:t xml:space="preserve">-e                       </w:t>
      </w:r>
      <w:r w:rsidRPr="00A7366F">
        <w:rPr>
          <w:rFonts w:ascii="Calibri" w:eastAsia="新細明體" w:hAnsi="Calibri" w:cs="Calibri"/>
          <w:sz w:val="24"/>
          <w:szCs w:val="24"/>
          <w:lang w:eastAsia="ja-JP"/>
        </w:rPr>
        <w:tab/>
        <w:t xml:space="preserve"> </w:t>
      </w:r>
      <w:r w:rsidR="005F13A2" w:rsidRPr="005F13A2">
        <w:rPr>
          <w:rFonts w:ascii="Calibri" w:eastAsia="新細明體" w:hAnsi="Calibri" w:cs="Calibri"/>
          <w:sz w:val="24"/>
          <w:szCs w:val="24"/>
          <w:lang w:eastAsia="ja-JP"/>
        </w:rPr>
        <w:t>R4-2014629</w:t>
      </w:r>
    </w:p>
    <w:p w14:paraId="4B5F968D" w14:textId="60CC9BB5" w:rsidR="0065432D" w:rsidRPr="00A7366F" w:rsidRDefault="0065432D" w:rsidP="0065432D">
      <w:pPr>
        <w:pStyle w:val="Header"/>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00D24E48">
        <w:rPr>
          <w:rFonts w:asciiTheme="minorHAnsi" w:eastAsiaTheme="minorEastAsia" w:hAnsiTheme="minorHAnsi" w:cstheme="minorBidi"/>
          <w:noProof w:val="0"/>
          <w:sz w:val="22"/>
          <w:szCs w:val="22"/>
          <w:lang w:eastAsia="zh-CN"/>
        </w:rPr>
        <w:t>2</w:t>
      </w:r>
      <w:r w:rsidR="00BB04A8" w:rsidRPr="00BB04A8">
        <w:rPr>
          <w:rFonts w:asciiTheme="minorHAnsi" w:eastAsiaTheme="minorEastAsia" w:hAnsiTheme="minorHAnsi" w:cstheme="minorBidi"/>
          <w:noProof w:val="0"/>
          <w:sz w:val="22"/>
          <w:szCs w:val="22"/>
          <w:lang w:eastAsia="zh-CN"/>
        </w:rPr>
        <w:t xml:space="preserve"> – </w:t>
      </w:r>
      <w:r w:rsidR="00D24E48">
        <w:rPr>
          <w:rFonts w:asciiTheme="minorHAnsi" w:eastAsiaTheme="minorEastAsia" w:hAnsiTheme="minorHAnsi" w:cstheme="minorBidi"/>
          <w:noProof w:val="0"/>
          <w:sz w:val="22"/>
          <w:szCs w:val="22"/>
          <w:lang w:eastAsia="zh-CN"/>
        </w:rPr>
        <w:t>13</w:t>
      </w:r>
      <w:r w:rsidR="00BB04A8" w:rsidRPr="00BB04A8">
        <w:rPr>
          <w:rFonts w:asciiTheme="minorHAnsi" w:eastAsiaTheme="minorEastAsia" w:hAnsiTheme="minorHAnsi" w:cstheme="minorBidi"/>
          <w:noProof w:val="0"/>
          <w:sz w:val="22"/>
          <w:szCs w:val="22"/>
          <w:lang w:eastAsia="zh-CN"/>
        </w:rPr>
        <w:t xml:space="preserve"> </w:t>
      </w:r>
      <w:r w:rsidR="00D24E48">
        <w:rPr>
          <w:rFonts w:asciiTheme="minorHAnsi" w:eastAsiaTheme="minorEastAsia" w:hAnsiTheme="minorHAnsi" w:cstheme="minorBidi"/>
          <w:noProof w:val="0"/>
          <w:sz w:val="22"/>
          <w:szCs w:val="22"/>
          <w:lang w:eastAsia="zh-CN"/>
        </w:rPr>
        <w:t>Nov</w:t>
      </w:r>
      <w:r w:rsidR="00BB04A8"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2D3DEB82" w:rsidR="00FB1EA3" w:rsidRPr="000172A9" w:rsidRDefault="00FB1EA3" w:rsidP="00FB1EA3">
      <w:pPr>
        <w:ind w:left="1985" w:hanging="1985"/>
        <w:rPr>
          <w:rFonts w:cs="Arial"/>
          <w:b/>
          <w:bCs/>
        </w:rPr>
      </w:pPr>
      <w:r w:rsidRPr="000172A9">
        <w:rPr>
          <w:rFonts w:cs="Arial"/>
          <w:b/>
          <w:bCs/>
        </w:rPr>
        <w:t>Agenda Item:</w:t>
      </w:r>
      <w:r w:rsidRPr="000172A9">
        <w:rPr>
          <w:rFonts w:cs="Arial"/>
          <w:b/>
          <w:bCs/>
        </w:rPr>
        <w:tab/>
      </w:r>
      <w:r w:rsidR="008C1DE3">
        <w:rPr>
          <w:rFonts w:cs="Arial"/>
          <w:b/>
          <w:bCs/>
        </w:rPr>
        <w:t>7.5.2.2</w:t>
      </w:r>
    </w:p>
    <w:p w14:paraId="68E291BE" w14:textId="53BF5F64"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p>
    <w:p w14:paraId="56FE282C" w14:textId="5D151A92" w:rsidR="00174EC2" w:rsidRDefault="0034111C" w:rsidP="007A4FCF">
      <w:pPr>
        <w:ind w:left="1985" w:hanging="1985"/>
        <w:rPr>
          <w:rFonts w:cs="Arial"/>
          <w:b/>
          <w:bCs/>
        </w:rPr>
      </w:pPr>
      <w:r w:rsidRPr="000C45FD">
        <w:rPr>
          <w:rFonts w:cs="Arial"/>
          <w:b/>
          <w:bCs/>
        </w:rPr>
        <w:t>Title:</w:t>
      </w:r>
      <w:r w:rsidRPr="000C45FD">
        <w:rPr>
          <w:rFonts w:cs="Arial"/>
          <w:b/>
          <w:bCs/>
        </w:rPr>
        <w:tab/>
      </w:r>
      <w:r w:rsidR="008C1DE3">
        <w:rPr>
          <w:rFonts w:cs="Arial"/>
          <w:b/>
          <w:bCs/>
        </w:rPr>
        <w:t>Discussion on TCI state activation in direct SCell activation</w:t>
      </w:r>
    </w:p>
    <w:p w14:paraId="6F580D61" w14:textId="3A4470ED"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B13D64">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05CE12CA" w14:textId="52E83F4A" w:rsidR="008F2E44" w:rsidRDefault="008F2E44"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point out that the TCI state activation is not part of the RRC command for direct SCell activation. Therefore, direction SCell activation does not necessary reduce the time needed for Rel-15 SCell activation. We suggest to send an LS to RAN2, asking them to consider some enhancement in Rel-16 in order to </w:t>
      </w:r>
      <w:r w:rsidR="0029725A">
        <w:rPr>
          <w:rFonts w:asciiTheme="minorHAnsi" w:eastAsiaTheme="minorEastAsia" w:hAnsiTheme="minorHAnsi" w:cstheme="minorBidi"/>
          <w:color w:val="auto"/>
          <w:sz w:val="22"/>
          <w:szCs w:val="22"/>
        </w:rPr>
        <w:t xml:space="preserve">full realize </w:t>
      </w:r>
      <w:r>
        <w:rPr>
          <w:rFonts w:asciiTheme="minorHAnsi" w:eastAsiaTheme="minorEastAsia" w:hAnsiTheme="minorHAnsi" w:cstheme="minorBidi"/>
          <w:color w:val="auto"/>
          <w:sz w:val="22"/>
          <w:szCs w:val="22"/>
        </w:rPr>
        <w:t>the benefit of this feature.</w:t>
      </w:r>
    </w:p>
    <w:p w14:paraId="15570B2A" w14:textId="73892426" w:rsidR="00486D1A" w:rsidRDefault="008F2E44" w:rsidP="00172708">
      <w:pPr>
        <w:pStyle w:val="Heading1"/>
        <w:numPr>
          <w:ilvl w:val="0"/>
          <w:numId w:val="1"/>
        </w:numPr>
        <w:rPr>
          <w:rFonts w:ascii="Calibri" w:hAnsi="Calibri"/>
        </w:rPr>
      </w:pPr>
      <w:r>
        <w:rPr>
          <w:rFonts w:ascii="Calibri" w:hAnsi="Calibri"/>
        </w:rPr>
        <w:t>Discussion</w:t>
      </w:r>
      <w:r w:rsidR="00172708" w:rsidRPr="00172708">
        <w:rPr>
          <w:rFonts w:ascii="Calibri" w:hAnsi="Calibri"/>
        </w:rPr>
        <w:t xml:space="preserve"> </w:t>
      </w:r>
    </w:p>
    <w:p w14:paraId="4C6B0DC7" w14:textId="04932410" w:rsidR="0029725A" w:rsidRDefault="008F2E44" w:rsidP="008F2E4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hint="eastAsia"/>
          <w:color w:val="auto"/>
          <w:sz w:val="22"/>
          <w:szCs w:val="22"/>
        </w:rPr>
        <w:t xml:space="preserve">In </w:t>
      </w:r>
      <w:r>
        <w:rPr>
          <w:rFonts w:asciiTheme="minorHAnsi" w:eastAsiaTheme="minorEastAsia" w:hAnsiTheme="minorHAnsi" w:cstheme="minorBidi"/>
          <w:color w:val="auto"/>
          <w:sz w:val="22"/>
          <w:szCs w:val="22"/>
        </w:rPr>
        <w:t>Rel-1</w:t>
      </w:r>
      <w:r w:rsidR="0029725A">
        <w:rPr>
          <w:rFonts w:asciiTheme="minorHAnsi" w:eastAsiaTheme="minorEastAsia" w:hAnsiTheme="minorHAnsi" w:cstheme="minorBidi"/>
          <w:color w:val="auto"/>
          <w:sz w:val="22"/>
          <w:szCs w:val="22"/>
        </w:rPr>
        <w:t>5, an SCell needs to be added (or configured) first. Then network can send MAC CE to activate the SCell. UE is required to start receive serving cell data no later than the SCell activation delay defined in RAN4.</w:t>
      </w:r>
    </w:p>
    <w:p w14:paraId="0B0B57AA" w14:textId="77777777" w:rsidR="0029725A" w:rsidRDefault="0029725A" w:rsidP="008F2E44">
      <w:pPr>
        <w:pStyle w:val="Default"/>
        <w:jc w:val="both"/>
        <w:rPr>
          <w:rFonts w:asciiTheme="minorHAnsi" w:eastAsiaTheme="minorEastAsia" w:hAnsiTheme="minorHAnsi" w:cstheme="minorBidi"/>
          <w:color w:val="auto"/>
          <w:sz w:val="22"/>
          <w:szCs w:val="22"/>
        </w:rPr>
      </w:pPr>
    </w:p>
    <w:p w14:paraId="331ADD72" w14:textId="73DBEEF1" w:rsidR="008F2E44" w:rsidRDefault="0029725A" w:rsidP="008F2E4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Rel-16,</w:t>
      </w:r>
      <w:r w:rsidR="008F2E44">
        <w:rPr>
          <w:rFonts w:asciiTheme="minorHAnsi" w:eastAsiaTheme="minorEastAsia" w:hAnsiTheme="minorHAnsi" w:cstheme="minorBidi"/>
          <w:color w:val="auto"/>
          <w:sz w:val="22"/>
          <w:szCs w:val="22"/>
        </w:rPr>
        <w:t xml:space="preserve"> direct SCell activation was introduced by RAN2 and then in RAN4 requirements are specified, e.g., for </w:t>
      </w:r>
      <w:r w:rsidR="008F2E44" w:rsidRPr="008F2E44">
        <w:rPr>
          <w:rFonts w:asciiTheme="minorHAnsi" w:eastAsiaTheme="minorEastAsia" w:hAnsiTheme="minorHAnsi" w:cstheme="minorBidi"/>
          <w:color w:val="auto"/>
          <w:sz w:val="22"/>
          <w:szCs w:val="22"/>
        </w:rPr>
        <w:t>Direct SCell Activation at SCell addition</w:t>
      </w:r>
      <w:r w:rsidR="008F2E44" w:rsidRPr="00D24E48">
        <w:rPr>
          <w:rFonts w:asciiTheme="minorHAnsi" w:eastAsiaTheme="minorEastAsia" w:hAnsiTheme="minorHAnsi" w:cstheme="minorBidi" w:hint="eastAsia"/>
          <w:color w:val="auto"/>
          <w:sz w:val="22"/>
          <w:szCs w:val="22"/>
        </w:rPr>
        <w:t>.</w:t>
      </w:r>
      <w:r w:rsidR="008F2E44">
        <w:rPr>
          <w:rFonts w:asciiTheme="minorHAnsi" w:eastAsiaTheme="minorEastAsia" w:hAnsiTheme="minorHAnsi" w:cstheme="minorBidi"/>
          <w:color w:val="auto"/>
          <w:sz w:val="22"/>
          <w:szCs w:val="22"/>
        </w:rPr>
        <w:t xml:space="preserve"> One purpose (same as LTE) of this direct SCell activation is to reduce the time to activate the SCell. </w:t>
      </w:r>
      <w:r>
        <w:rPr>
          <w:rFonts w:asciiTheme="minorHAnsi" w:eastAsiaTheme="minorEastAsia" w:hAnsiTheme="minorHAnsi" w:cstheme="minorBidi"/>
          <w:color w:val="auto"/>
          <w:sz w:val="22"/>
          <w:szCs w:val="22"/>
        </w:rPr>
        <w:t>N</w:t>
      </w:r>
      <w:r w:rsidR="008F2E44">
        <w:rPr>
          <w:rFonts w:asciiTheme="minorHAnsi" w:eastAsiaTheme="minorEastAsia" w:hAnsiTheme="minorHAnsi" w:cstheme="minorBidi"/>
          <w:color w:val="auto"/>
          <w:sz w:val="22"/>
          <w:szCs w:val="22"/>
        </w:rPr>
        <w:t xml:space="preserve">etwork does not need to send a separate MAC CE to activate the SCell. </w:t>
      </w:r>
    </w:p>
    <w:p w14:paraId="28AE28BF" w14:textId="77777777" w:rsidR="008F2E44" w:rsidRDefault="008F2E44" w:rsidP="008F2E44">
      <w:pPr>
        <w:pStyle w:val="Default"/>
        <w:jc w:val="both"/>
        <w:rPr>
          <w:rFonts w:asciiTheme="minorHAnsi" w:eastAsiaTheme="minorEastAsia" w:hAnsiTheme="minorHAnsi" w:cstheme="minorBidi"/>
          <w:color w:val="auto"/>
          <w:sz w:val="22"/>
          <w:szCs w:val="22"/>
        </w:rPr>
      </w:pPr>
    </w:p>
    <w:p w14:paraId="3C5DE20E" w14:textId="5A5E9A44" w:rsidR="008F2E44" w:rsidRDefault="008F2E44" w:rsidP="008F2E44">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However, in NR, additional TCI state activation is required for SCell activation in order to let both network and UE know which Tx/Rx beams should be assumed for later data transmission/reception.</w:t>
      </w:r>
      <w:r w:rsidR="0029725A">
        <w:rPr>
          <w:rFonts w:asciiTheme="minorHAnsi" w:eastAsiaTheme="minorEastAsia" w:hAnsiTheme="minorHAnsi" w:cstheme="minorBidi"/>
          <w:color w:val="auto"/>
          <w:sz w:val="22"/>
          <w:szCs w:val="22"/>
        </w:rPr>
        <w:t xml:space="preserve"> TCI state activation is needed for UE to receive PDCCH, PDSCH and report CSI. (Spatial relation activation is also needed for UL part, although we skip it here to simplify the discussion). </w:t>
      </w:r>
      <w:r w:rsidR="00986253">
        <w:rPr>
          <w:rFonts w:asciiTheme="minorHAnsi" w:eastAsiaTheme="minorEastAsia" w:hAnsiTheme="minorHAnsi" w:cstheme="minorBidi"/>
          <w:color w:val="auto"/>
          <w:sz w:val="22"/>
          <w:szCs w:val="22"/>
        </w:rPr>
        <w:t xml:space="preserve">According to current RRC signaling for direct SCell activation, TCI-state activation is not included. Therefore, network still needs to send separate MAC CE(s) to activate the TCI state for PDCCH, PDSCH and CSI. We illustrate this issue in </w:t>
      </w:r>
      <w:r w:rsidR="00986253">
        <w:rPr>
          <w:rFonts w:asciiTheme="minorHAnsi" w:eastAsiaTheme="minorEastAsia" w:hAnsiTheme="minorHAnsi" w:cstheme="minorBidi"/>
          <w:color w:val="auto"/>
          <w:sz w:val="22"/>
          <w:szCs w:val="22"/>
        </w:rPr>
        <w:fldChar w:fldCharType="begin"/>
      </w:r>
      <w:r w:rsidR="00986253">
        <w:rPr>
          <w:rFonts w:asciiTheme="minorHAnsi" w:eastAsiaTheme="minorEastAsia" w:hAnsiTheme="minorHAnsi" w:cstheme="minorBidi"/>
          <w:color w:val="auto"/>
          <w:sz w:val="22"/>
          <w:szCs w:val="22"/>
        </w:rPr>
        <w:instrText xml:space="preserve"> REF _Ref54029924 \h  \* MERGEFORMAT </w:instrText>
      </w:r>
      <w:r w:rsidR="00986253">
        <w:rPr>
          <w:rFonts w:asciiTheme="minorHAnsi" w:eastAsiaTheme="minorEastAsia" w:hAnsiTheme="minorHAnsi" w:cstheme="minorBidi"/>
          <w:color w:val="auto"/>
          <w:sz w:val="22"/>
          <w:szCs w:val="22"/>
        </w:rPr>
      </w:r>
      <w:r w:rsidR="00986253">
        <w:rPr>
          <w:rFonts w:asciiTheme="minorHAnsi" w:eastAsiaTheme="minorEastAsia" w:hAnsiTheme="minorHAnsi" w:cstheme="minorBidi"/>
          <w:color w:val="auto"/>
          <w:sz w:val="22"/>
          <w:szCs w:val="22"/>
        </w:rPr>
        <w:fldChar w:fldCharType="separate"/>
      </w:r>
      <w:r w:rsidR="0056092F" w:rsidRPr="0056092F">
        <w:rPr>
          <w:rFonts w:asciiTheme="minorHAnsi" w:eastAsiaTheme="minorEastAsia" w:hAnsiTheme="minorHAnsi" w:cstheme="minorBidi"/>
          <w:color w:val="auto"/>
          <w:sz w:val="22"/>
          <w:szCs w:val="22"/>
        </w:rPr>
        <w:t>Figure 1</w:t>
      </w:r>
      <w:r w:rsidR="00986253">
        <w:rPr>
          <w:rFonts w:asciiTheme="minorHAnsi" w:eastAsiaTheme="minorEastAsia" w:hAnsiTheme="minorHAnsi" w:cstheme="minorBidi"/>
          <w:color w:val="auto"/>
          <w:sz w:val="22"/>
          <w:szCs w:val="22"/>
        </w:rPr>
        <w:fldChar w:fldCharType="end"/>
      </w:r>
      <w:r w:rsidR="00986253">
        <w:rPr>
          <w:rFonts w:asciiTheme="minorHAnsi" w:eastAsiaTheme="minorEastAsia" w:hAnsiTheme="minorHAnsi" w:cstheme="minorBidi"/>
          <w:color w:val="auto"/>
          <w:sz w:val="22"/>
          <w:szCs w:val="22"/>
        </w:rPr>
        <w:t xml:space="preserve">. </w:t>
      </w:r>
      <w:r w:rsidR="00DE6672" w:rsidRPr="00DE6672">
        <w:rPr>
          <w:rFonts w:asciiTheme="minorHAnsi" w:eastAsiaTheme="minorEastAsia" w:hAnsiTheme="minorHAnsi" w:cstheme="minorBidi"/>
          <w:color w:val="auto"/>
          <w:sz w:val="22"/>
          <w:szCs w:val="22"/>
        </w:rPr>
        <w:t>In this case, the benefit of introducing direct SCell activation is not realized because network anyway still need to send MAC CE(s) later.</w:t>
      </w:r>
    </w:p>
    <w:p w14:paraId="5D087A67" w14:textId="77777777" w:rsidR="0029725A" w:rsidRPr="00842EE0" w:rsidRDefault="0029725A" w:rsidP="008F2E44">
      <w:pPr>
        <w:pStyle w:val="Default"/>
        <w:jc w:val="both"/>
        <w:rPr>
          <w:rFonts w:asciiTheme="minorHAnsi" w:eastAsiaTheme="minorEastAsia" w:hAnsiTheme="minorHAnsi" w:cstheme="minorBidi"/>
          <w:color w:val="auto"/>
          <w:sz w:val="22"/>
          <w:szCs w:val="22"/>
        </w:rPr>
      </w:pPr>
    </w:p>
    <w:p w14:paraId="27BB4F3E" w14:textId="77777777" w:rsidR="00444ADE" w:rsidRDefault="00444ADE" w:rsidP="00751B57">
      <w:pPr>
        <w:widowControl w:val="0"/>
        <w:autoSpaceDE w:val="0"/>
        <w:autoSpaceDN w:val="0"/>
        <w:adjustRightInd w:val="0"/>
        <w:spacing w:after="0" w:line="360" w:lineRule="auto"/>
        <w:jc w:val="both"/>
        <w:rPr>
          <w:bCs/>
          <w:kern w:val="24"/>
          <w:sz w:val="20"/>
          <w:szCs w:val="20"/>
        </w:rPr>
      </w:pPr>
    </w:p>
    <w:p w14:paraId="048F218D" w14:textId="17BD16D0" w:rsidR="002C4C76" w:rsidRDefault="002C4C76" w:rsidP="00986253">
      <w:pPr>
        <w:widowControl w:val="0"/>
        <w:autoSpaceDE w:val="0"/>
        <w:autoSpaceDN w:val="0"/>
        <w:adjustRightInd w:val="0"/>
        <w:spacing w:after="0" w:line="360" w:lineRule="auto"/>
        <w:jc w:val="center"/>
        <w:rPr>
          <w:bCs/>
          <w:kern w:val="24"/>
          <w:sz w:val="20"/>
          <w:szCs w:val="20"/>
        </w:rPr>
      </w:pPr>
      <w:r w:rsidRPr="002C4C76">
        <w:rPr>
          <w:noProof/>
        </w:rPr>
        <w:drawing>
          <wp:inline distT="0" distB="0" distL="0" distR="0" wp14:anchorId="0388F3A9" wp14:editId="2B23B1B2">
            <wp:extent cx="4914885" cy="1908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6429" cy="1912753"/>
                    </a:xfrm>
                    <a:prstGeom prst="rect">
                      <a:avLst/>
                    </a:prstGeom>
                    <a:noFill/>
                    <a:ln>
                      <a:noFill/>
                    </a:ln>
                  </pic:spPr>
                </pic:pic>
              </a:graphicData>
            </a:graphic>
          </wp:inline>
        </w:drawing>
      </w:r>
    </w:p>
    <w:p w14:paraId="1364B9BB" w14:textId="4B7F467E" w:rsidR="00986253" w:rsidRDefault="00986253" w:rsidP="00986253">
      <w:pPr>
        <w:pStyle w:val="Caption"/>
        <w:jc w:val="center"/>
        <w:rPr>
          <w:bCs/>
          <w:kern w:val="24"/>
        </w:rPr>
      </w:pPr>
      <w:bookmarkStart w:id="0" w:name="_Ref54029924"/>
      <w:r>
        <w:t xml:space="preserve">Figure </w:t>
      </w:r>
      <w:r w:rsidR="001F37EB">
        <w:rPr>
          <w:noProof/>
        </w:rPr>
        <w:fldChar w:fldCharType="begin"/>
      </w:r>
      <w:r w:rsidR="001F37EB">
        <w:rPr>
          <w:noProof/>
        </w:rPr>
        <w:instrText xml:space="preserve"> SEQ Figure \* ARABIC </w:instrText>
      </w:r>
      <w:r w:rsidR="001F37EB">
        <w:rPr>
          <w:noProof/>
        </w:rPr>
        <w:fldChar w:fldCharType="separate"/>
      </w:r>
      <w:r w:rsidR="0056092F">
        <w:rPr>
          <w:noProof/>
        </w:rPr>
        <w:t>1</w:t>
      </w:r>
      <w:r w:rsidR="001F37EB">
        <w:rPr>
          <w:noProof/>
        </w:rPr>
        <w:fldChar w:fldCharType="end"/>
      </w:r>
      <w:bookmarkEnd w:id="0"/>
      <w:r>
        <w:t>. Additional MAC CE(s) for TCI state activation is still needed even with direct SCell addition</w:t>
      </w:r>
    </w:p>
    <w:p w14:paraId="0206C33E" w14:textId="77777777" w:rsidR="002C4C76" w:rsidRDefault="002C4C76" w:rsidP="00751B57">
      <w:pPr>
        <w:widowControl w:val="0"/>
        <w:autoSpaceDE w:val="0"/>
        <w:autoSpaceDN w:val="0"/>
        <w:adjustRightInd w:val="0"/>
        <w:spacing w:after="0" w:line="360" w:lineRule="auto"/>
        <w:jc w:val="both"/>
        <w:rPr>
          <w:bCs/>
          <w:kern w:val="24"/>
          <w:sz w:val="20"/>
          <w:szCs w:val="20"/>
        </w:rPr>
      </w:pPr>
    </w:p>
    <w:p w14:paraId="012C03ED" w14:textId="5B2AD184" w:rsidR="00C31698" w:rsidRPr="00074FE5" w:rsidRDefault="00C31698" w:rsidP="00DE6672">
      <w:pPr>
        <w:pStyle w:val="Caption"/>
        <w:jc w:val="both"/>
        <w:rPr>
          <w:lang w:val="en-US" w:eastAsia="zh-TW"/>
        </w:rPr>
      </w:pPr>
      <w:bookmarkStart w:id="1" w:name="_Ref54031131"/>
      <w:r w:rsidRPr="00074FE5">
        <w:rPr>
          <w:lang w:val="en-US" w:eastAsia="zh-TW"/>
        </w:rPr>
        <w:lastRenderedPageBreak/>
        <w:t xml:space="preserve">Observation </w:t>
      </w:r>
      <w:r w:rsidRPr="00074FE5">
        <w:rPr>
          <w:lang w:val="en-US" w:eastAsia="zh-TW"/>
        </w:rPr>
        <w:fldChar w:fldCharType="begin"/>
      </w:r>
      <w:r w:rsidRPr="00074FE5">
        <w:rPr>
          <w:lang w:val="en-US" w:eastAsia="zh-TW"/>
        </w:rPr>
        <w:instrText xml:space="preserve"> SEQ Observation \* ARABIC </w:instrText>
      </w:r>
      <w:r w:rsidRPr="00074FE5">
        <w:rPr>
          <w:lang w:val="en-US" w:eastAsia="zh-TW"/>
        </w:rPr>
        <w:fldChar w:fldCharType="separate"/>
      </w:r>
      <w:r w:rsidR="0056092F">
        <w:rPr>
          <w:noProof/>
          <w:lang w:val="en-US" w:eastAsia="zh-TW"/>
        </w:rPr>
        <w:t>1</w:t>
      </w:r>
      <w:r w:rsidRPr="00074FE5">
        <w:rPr>
          <w:lang w:val="en-US" w:eastAsia="zh-TW"/>
        </w:rPr>
        <w:fldChar w:fldCharType="end"/>
      </w:r>
      <w:r w:rsidRPr="00074FE5">
        <w:rPr>
          <w:lang w:val="en-US" w:eastAsia="zh-TW"/>
        </w:rPr>
        <w:t>: In NR, additional TCI state activation is required for SCell activation in order to let both network and UE know which Tx/Rx beams should be assumed for later data transmission/reception. However, TCI-state activation is not included in current RRC signaling for direct SCell activation.</w:t>
      </w:r>
      <w:bookmarkEnd w:id="1"/>
    </w:p>
    <w:p w14:paraId="3744CAE3" w14:textId="130C3738" w:rsidR="00DE6672" w:rsidRPr="00074FE5" w:rsidRDefault="00DE6672" w:rsidP="00DE6672">
      <w:pPr>
        <w:pStyle w:val="Caption"/>
        <w:jc w:val="both"/>
        <w:rPr>
          <w:lang w:val="en-US" w:eastAsia="zh-TW"/>
        </w:rPr>
      </w:pPr>
      <w:bookmarkStart w:id="2" w:name="_Ref54031132"/>
      <w:r w:rsidRPr="00074FE5">
        <w:rPr>
          <w:lang w:val="en-US" w:eastAsia="zh-TW"/>
        </w:rPr>
        <w:t xml:space="preserve">Observation </w:t>
      </w:r>
      <w:r w:rsidRPr="00074FE5">
        <w:rPr>
          <w:lang w:val="en-US" w:eastAsia="zh-TW"/>
        </w:rPr>
        <w:fldChar w:fldCharType="begin"/>
      </w:r>
      <w:r w:rsidRPr="00074FE5">
        <w:rPr>
          <w:lang w:val="en-US" w:eastAsia="zh-TW"/>
        </w:rPr>
        <w:instrText xml:space="preserve"> SEQ Observation \* ARABIC </w:instrText>
      </w:r>
      <w:r w:rsidRPr="00074FE5">
        <w:rPr>
          <w:lang w:val="en-US" w:eastAsia="zh-TW"/>
        </w:rPr>
        <w:fldChar w:fldCharType="separate"/>
      </w:r>
      <w:r w:rsidR="0056092F">
        <w:rPr>
          <w:noProof/>
          <w:lang w:val="en-US" w:eastAsia="zh-TW"/>
        </w:rPr>
        <w:t>2</w:t>
      </w:r>
      <w:r w:rsidRPr="00074FE5">
        <w:rPr>
          <w:lang w:val="en-US" w:eastAsia="zh-TW"/>
        </w:rPr>
        <w:fldChar w:fldCharType="end"/>
      </w:r>
      <w:r w:rsidRPr="00074FE5">
        <w:rPr>
          <w:lang w:val="en-US" w:eastAsia="zh-TW"/>
        </w:rPr>
        <w:t>: The benefit of introducing direct SCell activation is not realized because network anyway still need to send MAC CE(s) later for TCI state activation.</w:t>
      </w:r>
      <w:bookmarkEnd w:id="2"/>
    </w:p>
    <w:p w14:paraId="723B6F7C" w14:textId="77777777" w:rsidR="00DE6672" w:rsidRPr="00DE6672" w:rsidRDefault="00DE6672" w:rsidP="00751B57">
      <w:pPr>
        <w:widowControl w:val="0"/>
        <w:autoSpaceDE w:val="0"/>
        <w:autoSpaceDN w:val="0"/>
        <w:adjustRightInd w:val="0"/>
        <w:spacing w:after="0" w:line="360" w:lineRule="auto"/>
        <w:jc w:val="both"/>
        <w:rPr>
          <w:bCs/>
          <w:kern w:val="24"/>
          <w:sz w:val="20"/>
          <w:szCs w:val="20"/>
          <w:lang w:val="x-none"/>
        </w:rPr>
      </w:pPr>
    </w:p>
    <w:p w14:paraId="63A36DFF" w14:textId="626C12B1" w:rsidR="00DE6672" w:rsidRDefault="00DE6672" w:rsidP="00751B57">
      <w:pPr>
        <w:widowControl w:val="0"/>
        <w:autoSpaceDE w:val="0"/>
        <w:autoSpaceDN w:val="0"/>
        <w:adjustRightInd w:val="0"/>
        <w:spacing w:after="0" w:line="360" w:lineRule="auto"/>
        <w:jc w:val="both"/>
        <w:rPr>
          <w:bCs/>
          <w:kern w:val="24"/>
          <w:sz w:val="20"/>
          <w:szCs w:val="20"/>
          <w:lang w:val="x-none"/>
        </w:rPr>
      </w:pPr>
      <w:r>
        <w:rPr>
          <w:bCs/>
          <w:kern w:val="24"/>
          <w:sz w:val="20"/>
          <w:szCs w:val="20"/>
          <w:lang w:val="x-none"/>
        </w:rPr>
        <w:t xml:space="preserve">To resolve this issue, we think it is important to inform RAN2 about the current situation and ask RAN2 to resolve it. An very straightforward solution is to add TCI-state activation in the RRC signaling together with direct SCell activation. We are also open to other solutions. </w:t>
      </w:r>
    </w:p>
    <w:p w14:paraId="6261F11F" w14:textId="77D48B08" w:rsidR="00DE6672" w:rsidRPr="00DE6672" w:rsidRDefault="00DE6672" w:rsidP="00DE6672">
      <w:pPr>
        <w:pStyle w:val="Caption"/>
        <w:jc w:val="both"/>
        <w:rPr>
          <w:bCs/>
          <w:kern w:val="24"/>
        </w:rPr>
      </w:pPr>
      <w:bookmarkStart w:id="3" w:name="_Ref54031135"/>
      <w:r>
        <w:t xml:space="preserve">Proposal </w:t>
      </w:r>
      <w:r w:rsidR="001F37EB">
        <w:rPr>
          <w:noProof/>
        </w:rPr>
        <w:fldChar w:fldCharType="begin"/>
      </w:r>
      <w:r w:rsidR="001F37EB">
        <w:rPr>
          <w:noProof/>
        </w:rPr>
        <w:instrText xml:space="preserve"> SEQ Proposal \* ARABIC </w:instrText>
      </w:r>
      <w:r w:rsidR="001F37EB">
        <w:rPr>
          <w:noProof/>
        </w:rPr>
        <w:fldChar w:fldCharType="separate"/>
      </w:r>
      <w:r w:rsidR="0056092F">
        <w:rPr>
          <w:noProof/>
        </w:rPr>
        <w:t>1</w:t>
      </w:r>
      <w:r w:rsidR="001F37EB">
        <w:rPr>
          <w:noProof/>
        </w:rPr>
        <w:fldChar w:fldCharType="end"/>
      </w:r>
      <w:r>
        <w:t xml:space="preserve">: Send an LS to RAN2 to inform that missing </w:t>
      </w:r>
      <w:r w:rsidRPr="00DE6672">
        <w:t xml:space="preserve">TCI state activation </w:t>
      </w:r>
      <w:r>
        <w:t>in</w:t>
      </w:r>
      <w:r w:rsidRPr="00DE6672">
        <w:t xml:space="preserve"> RRC command for direct SCell activation</w:t>
      </w:r>
      <w:r w:rsidR="00D364B4">
        <w:t xml:space="preserve"> prohibits both network and UE to realize the benefit of dir</w:t>
      </w:r>
      <w:r w:rsidR="00DE0153">
        <w:t xml:space="preserve">ection SCell activation feature. </w:t>
      </w:r>
      <w:r w:rsidR="00DE0153">
        <w:rPr>
          <w:lang w:val="en-US"/>
        </w:rPr>
        <w:t>R</w:t>
      </w:r>
      <w:r w:rsidR="00D364B4">
        <w:t>equest RAN2 to resolve it in Rel-16.</w:t>
      </w:r>
      <w:bookmarkEnd w:id="3"/>
    </w:p>
    <w:p w14:paraId="7C6FC139" w14:textId="6F4D3ACB" w:rsidR="00CE0D5E" w:rsidRPr="000C45FD" w:rsidRDefault="00D364B4" w:rsidP="008F1284">
      <w:pPr>
        <w:pStyle w:val="Heading1"/>
        <w:numPr>
          <w:ilvl w:val="0"/>
          <w:numId w:val="1"/>
        </w:numPr>
        <w:rPr>
          <w:rFonts w:ascii="Calibri" w:hAnsi="Calibri"/>
          <w:lang w:eastAsia="zh-CN"/>
        </w:rPr>
      </w:pPr>
      <w:r>
        <w:rPr>
          <w:rFonts w:ascii="Calibri" w:hAnsi="Calibri"/>
        </w:rPr>
        <w:t>Draft LS to RAN2</w:t>
      </w:r>
    </w:p>
    <w:tbl>
      <w:tblPr>
        <w:tblStyle w:val="TableGrid"/>
        <w:tblW w:w="0" w:type="auto"/>
        <w:tblLook w:val="04A0" w:firstRow="1" w:lastRow="0" w:firstColumn="1" w:lastColumn="0" w:noHBand="0" w:noVBand="1"/>
      </w:tblPr>
      <w:tblGrid>
        <w:gridCol w:w="9629"/>
      </w:tblGrid>
      <w:tr w:rsidR="00D364B4" w14:paraId="20373EF9" w14:textId="77777777" w:rsidTr="00D364B4">
        <w:tc>
          <w:tcPr>
            <w:tcW w:w="9629" w:type="dxa"/>
          </w:tcPr>
          <w:p w14:paraId="20C40AB2" w14:textId="77777777" w:rsidR="00D364B4" w:rsidRPr="001806B3" w:rsidRDefault="00D364B4" w:rsidP="00D364B4">
            <w:pPr>
              <w:spacing w:after="120"/>
              <w:rPr>
                <w:rFonts w:ascii="Arial" w:hAnsi="Arial" w:cs="Arial"/>
                <w:sz w:val="20"/>
                <w:lang w:eastAsia="x-none"/>
              </w:rPr>
            </w:pPr>
            <w:r w:rsidRPr="001806B3">
              <w:rPr>
                <w:rFonts w:ascii="Arial" w:hAnsi="Arial" w:cs="Arial"/>
                <w:b/>
                <w:sz w:val="20"/>
              </w:rPr>
              <w:t>1. Overall Description:</w:t>
            </w:r>
          </w:p>
          <w:p w14:paraId="6F965836" w14:textId="09A6021F" w:rsidR="00D364B4" w:rsidRPr="001806B3" w:rsidRDefault="00D364B4" w:rsidP="00D364B4">
            <w:pPr>
              <w:rPr>
                <w:rFonts w:ascii="Arial" w:hAnsi="Arial" w:cs="Arial"/>
                <w:sz w:val="20"/>
              </w:rPr>
            </w:pPr>
            <w:r w:rsidRPr="001806B3">
              <w:rPr>
                <w:rFonts w:ascii="Arial" w:hAnsi="Arial" w:cs="Arial"/>
                <w:sz w:val="20"/>
                <w:lang w:eastAsia="x-none"/>
              </w:rPr>
              <w:t xml:space="preserve">RAN4 would like to inform RAN2 </w:t>
            </w:r>
            <w:r>
              <w:rPr>
                <w:rFonts w:ascii="Arial" w:hAnsi="Arial" w:cs="Arial"/>
                <w:sz w:val="20"/>
                <w:lang w:eastAsia="x-none"/>
              </w:rPr>
              <w:t>that TCI state activation is required as part of the SCell activation procedure in NR. Current RRC command for direct SCell activation does not include TCI state activation information to UE. So that network</w:t>
            </w:r>
            <w:r w:rsidR="005D6971">
              <w:rPr>
                <w:rFonts w:ascii="Arial" w:hAnsi="Arial" w:cs="Arial"/>
                <w:sz w:val="20"/>
                <w:lang w:eastAsia="x-none"/>
              </w:rPr>
              <w:t xml:space="preserve"> has to send separate MAC CE, which </w:t>
            </w:r>
            <w:r w:rsidR="005D6971" w:rsidRPr="005D6971">
              <w:rPr>
                <w:rFonts w:ascii="Arial" w:hAnsi="Arial" w:cs="Arial"/>
                <w:sz w:val="20"/>
                <w:lang w:eastAsia="x-none"/>
              </w:rPr>
              <w:t>prohibits both network and UE to realize the benefit of direction SCell activation feature</w:t>
            </w:r>
            <w:r w:rsidR="005D6971">
              <w:rPr>
                <w:rFonts w:ascii="Arial" w:hAnsi="Arial" w:cs="Arial"/>
                <w:sz w:val="20"/>
                <w:lang w:eastAsia="x-none"/>
              </w:rPr>
              <w:t>.</w:t>
            </w:r>
          </w:p>
          <w:p w14:paraId="75C304F4" w14:textId="77777777" w:rsidR="00D364B4" w:rsidRPr="001806B3" w:rsidRDefault="00D364B4" w:rsidP="00D364B4">
            <w:pPr>
              <w:spacing w:after="120"/>
              <w:rPr>
                <w:rFonts w:ascii="Arial" w:hAnsi="Arial" w:cs="Arial"/>
                <w:b/>
                <w:sz w:val="20"/>
              </w:rPr>
            </w:pPr>
            <w:r w:rsidRPr="001806B3">
              <w:rPr>
                <w:rFonts w:ascii="Arial" w:hAnsi="Arial" w:cs="Arial"/>
                <w:b/>
                <w:sz w:val="20"/>
              </w:rPr>
              <w:t xml:space="preserve">2. To RAN WG1 and WG2 group. </w:t>
            </w:r>
            <w:bookmarkStart w:id="4" w:name="_GoBack"/>
            <w:bookmarkEnd w:id="4"/>
          </w:p>
          <w:p w14:paraId="5EF96226" w14:textId="43FDD4B0" w:rsidR="00D364B4" w:rsidRPr="00D364B4" w:rsidRDefault="00D364B4" w:rsidP="005D6971">
            <w:pPr>
              <w:rPr>
                <w:rFonts w:eastAsia="Arial"/>
              </w:rPr>
            </w:pPr>
            <w:r w:rsidRPr="001806B3">
              <w:rPr>
                <w:rFonts w:ascii="Arial" w:hAnsi="Arial" w:cs="Arial"/>
                <w:b/>
                <w:sz w:val="20"/>
              </w:rPr>
              <w:t xml:space="preserve">ACTION: </w:t>
            </w:r>
            <w:r w:rsidRPr="001806B3">
              <w:rPr>
                <w:rFonts w:ascii="Arial" w:hAnsi="Arial" w:cs="Arial"/>
                <w:sz w:val="20"/>
                <w:lang w:eastAsia="zh-CN"/>
              </w:rPr>
              <w:t xml:space="preserve">RAN4 kindly ask RAN2 </w:t>
            </w:r>
            <w:r w:rsidR="005D6971">
              <w:rPr>
                <w:rFonts w:ascii="Arial" w:hAnsi="Arial" w:cs="Arial"/>
                <w:sz w:val="20"/>
                <w:lang w:eastAsia="zh-CN"/>
              </w:rPr>
              <w:t>to resolve this issue in Rel-16</w:t>
            </w:r>
            <w:r w:rsidRPr="001806B3">
              <w:rPr>
                <w:rFonts w:ascii="Arial" w:hAnsi="Arial" w:cs="Arial"/>
                <w:sz w:val="20"/>
                <w:lang w:eastAsia="zh-CN"/>
              </w:rPr>
              <w:t>.</w:t>
            </w:r>
          </w:p>
        </w:tc>
      </w:tr>
    </w:tbl>
    <w:p w14:paraId="4DD969BC" w14:textId="77777777" w:rsidR="00D364B4" w:rsidRPr="00DE6672" w:rsidRDefault="00D364B4" w:rsidP="00D364B4">
      <w:pPr>
        <w:pStyle w:val="Caption"/>
        <w:jc w:val="both"/>
        <w:rPr>
          <w:bCs/>
          <w:kern w:val="24"/>
        </w:rPr>
      </w:pPr>
    </w:p>
    <w:p w14:paraId="28BA3F25" w14:textId="77777777" w:rsidR="00D364B4" w:rsidRPr="000C45FD" w:rsidRDefault="00D364B4" w:rsidP="00D364B4">
      <w:pPr>
        <w:pStyle w:val="Heading1"/>
        <w:numPr>
          <w:ilvl w:val="0"/>
          <w:numId w:val="1"/>
        </w:numPr>
        <w:rPr>
          <w:rFonts w:ascii="Calibri" w:hAnsi="Calibri"/>
          <w:lang w:eastAsia="zh-CN"/>
        </w:rPr>
      </w:pPr>
      <w:r>
        <w:rPr>
          <w:rFonts w:ascii="Calibri" w:hAnsi="Calibri"/>
        </w:rPr>
        <w:t>Summary</w:t>
      </w:r>
    </w:p>
    <w:p w14:paraId="0C152CDC" w14:textId="294E4153" w:rsidR="00D364B4" w:rsidRDefault="00074FE5" w:rsidP="00D364B4">
      <w:pPr>
        <w:rPr>
          <w:rFonts w:eastAsia="Batang"/>
          <w:kern w:val="2"/>
          <w:lang w:eastAsia="ko-KR"/>
        </w:rPr>
      </w:pPr>
      <w:r>
        <w:rPr>
          <w:rFonts w:eastAsia="Batang" w:hint="eastAsia"/>
          <w:kern w:val="2"/>
          <w:lang w:eastAsia="ko-KR"/>
        </w:rPr>
        <w:t xml:space="preserve">In this contribution, we raise the issue of lacking TCI state activation information in current RRC command for SCell activation. </w:t>
      </w:r>
      <w:r>
        <w:rPr>
          <w:rFonts w:eastAsia="Batang"/>
          <w:kern w:val="2"/>
          <w:lang w:eastAsia="ko-KR"/>
        </w:rPr>
        <w:t>We have following observations and proposals:</w:t>
      </w:r>
    </w:p>
    <w:p w14:paraId="13455170" w14:textId="123C6B40" w:rsidR="00074FE5" w:rsidRPr="00074FE5" w:rsidRDefault="00074FE5" w:rsidP="00D364B4">
      <w:pPr>
        <w:rPr>
          <w:b/>
          <w:sz w:val="20"/>
          <w:szCs w:val="20"/>
        </w:rPr>
      </w:pPr>
      <w:r w:rsidRPr="00074FE5">
        <w:rPr>
          <w:b/>
          <w:sz w:val="20"/>
          <w:szCs w:val="20"/>
        </w:rPr>
        <w:fldChar w:fldCharType="begin"/>
      </w:r>
      <w:r w:rsidRPr="00074FE5">
        <w:rPr>
          <w:b/>
          <w:sz w:val="20"/>
          <w:szCs w:val="20"/>
        </w:rPr>
        <w:instrText xml:space="preserve"> REF _Ref54031131 \h  \* MERGEFORMAT </w:instrText>
      </w:r>
      <w:r w:rsidRPr="00074FE5">
        <w:rPr>
          <w:b/>
          <w:sz w:val="20"/>
          <w:szCs w:val="20"/>
        </w:rPr>
      </w:r>
      <w:r w:rsidRPr="00074FE5">
        <w:rPr>
          <w:b/>
          <w:sz w:val="20"/>
          <w:szCs w:val="20"/>
        </w:rPr>
        <w:fldChar w:fldCharType="separate"/>
      </w:r>
      <w:r w:rsidR="0056092F" w:rsidRPr="0056092F">
        <w:rPr>
          <w:b/>
          <w:sz w:val="20"/>
          <w:szCs w:val="20"/>
        </w:rPr>
        <w:t>Observation 1: In NR, additional TCI state activation is required for SCell activation in order to let both network and UE know which Tx/Rx beams should be assumed for later data transmission/reception. However, TCI-state activation is not included in current RRC signaling for direct SCell activation.</w:t>
      </w:r>
      <w:r w:rsidRPr="00074FE5">
        <w:rPr>
          <w:b/>
          <w:sz w:val="20"/>
          <w:szCs w:val="20"/>
        </w:rPr>
        <w:fldChar w:fldCharType="end"/>
      </w:r>
    </w:p>
    <w:p w14:paraId="1284A0C5" w14:textId="32EB224F" w:rsidR="00074FE5" w:rsidRPr="00074FE5" w:rsidRDefault="00074FE5" w:rsidP="00D364B4">
      <w:pPr>
        <w:rPr>
          <w:b/>
          <w:sz w:val="20"/>
          <w:szCs w:val="20"/>
        </w:rPr>
      </w:pPr>
      <w:r w:rsidRPr="00074FE5">
        <w:rPr>
          <w:b/>
          <w:sz w:val="20"/>
          <w:szCs w:val="20"/>
        </w:rPr>
        <w:fldChar w:fldCharType="begin"/>
      </w:r>
      <w:r w:rsidRPr="00074FE5">
        <w:rPr>
          <w:b/>
          <w:sz w:val="20"/>
          <w:szCs w:val="20"/>
        </w:rPr>
        <w:instrText xml:space="preserve"> REF _Ref54031132 \h  \* MERGEFORMAT </w:instrText>
      </w:r>
      <w:r w:rsidRPr="00074FE5">
        <w:rPr>
          <w:b/>
          <w:sz w:val="20"/>
          <w:szCs w:val="20"/>
        </w:rPr>
      </w:r>
      <w:r w:rsidRPr="00074FE5">
        <w:rPr>
          <w:b/>
          <w:sz w:val="20"/>
          <w:szCs w:val="20"/>
        </w:rPr>
        <w:fldChar w:fldCharType="separate"/>
      </w:r>
      <w:r w:rsidR="0056092F" w:rsidRPr="0056092F">
        <w:rPr>
          <w:b/>
          <w:sz w:val="20"/>
          <w:szCs w:val="20"/>
        </w:rPr>
        <w:t>Observation 2: The benefit of introducing direct SCell activation is not realized because network anyway still need to send MAC CE(s) later for TCI state activation.</w:t>
      </w:r>
      <w:r w:rsidRPr="00074FE5">
        <w:rPr>
          <w:b/>
          <w:sz w:val="20"/>
          <w:szCs w:val="20"/>
        </w:rPr>
        <w:fldChar w:fldCharType="end"/>
      </w:r>
    </w:p>
    <w:p w14:paraId="0C528672" w14:textId="0CD1AEBE" w:rsidR="00AF56FF" w:rsidRPr="00074FE5" w:rsidRDefault="00074FE5" w:rsidP="00C53811">
      <w:pPr>
        <w:rPr>
          <w:b/>
          <w:sz w:val="20"/>
          <w:szCs w:val="20"/>
        </w:rPr>
      </w:pPr>
      <w:r w:rsidRPr="00074FE5">
        <w:rPr>
          <w:b/>
          <w:sz w:val="20"/>
          <w:szCs w:val="20"/>
        </w:rPr>
        <w:fldChar w:fldCharType="begin"/>
      </w:r>
      <w:r w:rsidRPr="00074FE5">
        <w:rPr>
          <w:b/>
          <w:sz w:val="20"/>
          <w:szCs w:val="20"/>
        </w:rPr>
        <w:instrText xml:space="preserve"> REF _Ref54031135 \h  \* MERGEFORMAT </w:instrText>
      </w:r>
      <w:r w:rsidRPr="00074FE5">
        <w:rPr>
          <w:b/>
          <w:sz w:val="20"/>
          <w:szCs w:val="20"/>
        </w:rPr>
      </w:r>
      <w:r w:rsidRPr="00074FE5">
        <w:rPr>
          <w:b/>
          <w:sz w:val="20"/>
          <w:szCs w:val="20"/>
        </w:rPr>
        <w:fldChar w:fldCharType="separate"/>
      </w:r>
      <w:r w:rsidR="0056092F" w:rsidRPr="0056092F">
        <w:rPr>
          <w:b/>
          <w:sz w:val="20"/>
          <w:szCs w:val="20"/>
        </w:rPr>
        <w:t>Proposal 1: Send an LS to RAN2 to inform that missing TCI state activation in RRC command for direct SCell activation prohibits both network and UE to realize the benefit of direction SCell activation feature. Request RAN2 to resolve it in Rel-16.</w:t>
      </w:r>
      <w:r w:rsidRPr="00074FE5">
        <w:rPr>
          <w:b/>
          <w:sz w:val="20"/>
          <w:szCs w:val="20"/>
        </w:rPr>
        <w:fldChar w:fldCharType="end"/>
      </w:r>
    </w:p>
    <w:p w14:paraId="459F3881" w14:textId="77777777" w:rsidR="00751B57" w:rsidRPr="00B7162C" w:rsidRDefault="00751B57" w:rsidP="00751B57">
      <w:pPr>
        <w:pStyle w:val="Heading1"/>
        <w:pBdr>
          <w:top w:val="single" w:sz="12" w:space="2" w:color="auto"/>
        </w:pBdr>
        <w:jc w:val="both"/>
        <w:rPr>
          <w:sz w:val="32"/>
        </w:rPr>
      </w:pPr>
      <w:r w:rsidRPr="00B7162C">
        <w:rPr>
          <w:rFonts w:hint="eastAsia"/>
          <w:sz w:val="32"/>
        </w:rPr>
        <w:t>References</w:t>
      </w:r>
    </w:p>
    <w:sectPr w:rsidR="00751B57" w:rsidRPr="00B7162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161B9" w14:textId="77777777" w:rsidR="008C2480" w:rsidRDefault="008C2480">
      <w:r>
        <w:separator/>
      </w:r>
    </w:p>
  </w:endnote>
  <w:endnote w:type="continuationSeparator" w:id="0">
    <w:p w14:paraId="33730DE7" w14:textId="77777777" w:rsidR="008C2480" w:rsidRDefault="008C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5BEA4" w14:textId="77777777" w:rsidR="008C2480" w:rsidRDefault="008C2480">
      <w:r>
        <w:separator/>
      </w:r>
    </w:p>
  </w:footnote>
  <w:footnote w:type="continuationSeparator" w:id="0">
    <w:p w14:paraId="633CDA9D" w14:textId="77777777" w:rsidR="008C2480" w:rsidRDefault="008C2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6"/>
  </w:num>
  <w:num w:numId="3">
    <w:abstractNumId w:val="4"/>
  </w:num>
  <w:num w:numId="4">
    <w:abstractNumId w:val="2"/>
  </w:num>
  <w:num w:numId="5">
    <w:abstractNumId w:val="21"/>
  </w:num>
  <w:num w:numId="6">
    <w:abstractNumId w:val="41"/>
  </w:num>
  <w:num w:numId="7">
    <w:abstractNumId w:val="28"/>
  </w:num>
  <w:num w:numId="8">
    <w:abstractNumId w:val="45"/>
  </w:num>
  <w:num w:numId="9">
    <w:abstractNumId w:val="40"/>
  </w:num>
  <w:num w:numId="10">
    <w:abstractNumId w:val="0"/>
  </w:num>
  <w:num w:numId="11">
    <w:abstractNumId w:val="8"/>
  </w:num>
  <w:num w:numId="12">
    <w:abstractNumId w:val="42"/>
  </w:num>
  <w:num w:numId="13">
    <w:abstractNumId w:val="38"/>
  </w:num>
  <w:num w:numId="14">
    <w:abstractNumId w:val="7"/>
  </w:num>
  <w:num w:numId="15">
    <w:abstractNumId w:val="15"/>
  </w:num>
  <w:num w:numId="16">
    <w:abstractNumId w:val="39"/>
  </w:num>
  <w:num w:numId="17">
    <w:abstractNumId w:val="34"/>
  </w:num>
  <w:num w:numId="18">
    <w:abstractNumId w:val="27"/>
  </w:num>
  <w:num w:numId="19">
    <w:abstractNumId w:val="47"/>
  </w:num>
  <w:num w:numId="20">
    <w:abstractNumId w:val="23"/>
  </w:num>
  <w:num w:numId="21">
    <w:abstractNumId w:val="5"/>
  </w:num>
  <w:num w:numId="22">
    <w:abstractNumId w:val="6"/>
  </w:num>
  <w:num w:numId="23">
    <w:abstractNumId w:val="37"/>
  </w:num>
  <w:num w:numId="24">
    <w:abstractNumId w:val="13"/>
  </w:num>
  <w:num w:numId="25">
    <w:abstractNumId w:val="12"/>
  </w:num>
  <w:num w:numId="26">
    <w:abstractNumId w:val="9"/>
  </w:num>
  <w:num w:numId="27">
    <w:abstractNumId w:val="36"/>
  </w:num>
  <w:num w:numId="28">
    <w:abstractNumId w:val="16"/>
  </w:num>
  <w:num w:numId="29">
    <w:abstractNumId w:val="17"/>
  </w:num>
  <w:num w:numId="30">
    <w:abstractNumId w:val="48"/>
  </w:num>
  <w:num w:numId="31">
    <w:abstractNumId w:val="31"/>
  </w:num>
  <w:num w:numId="32">
    <w:abstractNumId w:val="31"/>
    <w:lvlOverride w:ilvl="0">
      <w:startOverride w:val="1"/>
    </w:lvlOverride>
  </w:num>
  <w:num w:numId="33">
    <w:abstractNumId w:val="46"/>
  </w:num>
  <w:num w:numId="34">
    <w:abstractNumId w:val="22"/>
  </w:num>
  <w:num w:numId="35">
    <w:abstractNumId w:val="18"/>
  </w:num>
  <w:num w:numId="36">
    <w:abstractNumId w:val="29"/>
  </w:num>
  <w:num w:numId="37">
    <w:abstractNumId w:val="32"/>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3"/>
  </w:num>
  <w:num w:numId="44">
    <w:abstractNumId w:val="10"/>
  </w:num>
  <w:num w:numId="45">
    <w:abstractNumId w:val="25"/>
  </w:num>
  <w:num w:numId="46">
    <w:abstractNumId w:val="14"/>
  </w:num>
  <w:num w:numId="47">
    <w:abstractNumId w:val="20"/>
  </w:num>
  <w:num w:numId="48">
    <w:abstractNumId w:val="43"/>
  </w:num>
  <w:num w:numId="49">
    <w:abstractNumId w:val="35"/>
  </w:num>
  <w:num w:numId="5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4FE5"/>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4E8F"/>
    <w:rsid w:val="001E59BA"/>
    <w:rsid w:val="001E59E0"/>
    <w:rsid w:val="001E6CF5"/>
    <w:rsid w:val="001E7244"/>
    <w:rsid w:val="001E766E"/>
    <w:rsid w:val="001E7990"/>
    <w:rsid w:val="001F0DEA"/>
    <w:rsid w:val="001F1363"/>
    <w:rsid w:val="001F1EFE"/>
    <w:rsid w:val="001F2A47"/>
    <w:rsid w:val="001F3096"/>
    <w:rsid w:val="001F3227"/>
    <w:rsid w:val="001F37EB"/>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25A"/>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4C76"/>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0F1"/>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92F"/>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971"/>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3A2"/>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1DE3"/>
    <w:rsid w:val="008C2186"/>
    <w:rsid w:val="008C22E1"/>
    <w:rsid w:val="008C2480"/>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2E44"/>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253"/>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3D64"/>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698"/>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4B4"/>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153"/>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672"/>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3A2"/>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F13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13A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DDAB6-FA2C-4F94-B507-6279937A4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2020-10-23T12:40:00Z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